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</w:rPr>
        <w:t xml:space="preserve">            </w:t>
      </w:r>
      <w:r>
        <w:rPr>
          <w:rFonts w:cs="Times New Roman" w:ascii="Times New Roman" w:hAnsi="Times New Roman"/>
          <w:b/>
          <w:color w:val="FF0000"/>
          <w:sz w:val="40"/>
          <w:szCs w:val="40"/>
        </w:rPr>
        <w:t>Орфанное заболевание –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48484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это</w:t>
      </w:r>
      <w:r>
        <w:rPr>
          <w:rFonts w:cs="Times New Roman" w:ascii="Times New Roman" w:hAnsi="Times New Roman"/>
          <w:color w:val="484848"/>
          <w:sz w:val="28"/>
          <w:szCs w:val="28"/>
          <w:shd w:fill="FFFFFF" w:val="clear"/>
        </w:rPr>
        <w:t>  угрожающее  жизни  и  здоровью  хроническое  заболевание,  которое  имеет настолько  низкую  встречаемость,  что  необходимо  применение  специальных  усилий  для  предотвращения  заболеваемости,  ранней  смертности  и  повышения  качества  жизни  больных.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орфанных заболеваний утвержден постановлением Правительства Российской Федерации от 26 апреля 2012 г. N 403: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Утвержден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постановлением Правительства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26 апреля 2012 г. N 403</w:t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ПЕРЕЧЕНЬ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ЖИЗНЕУГРОЖАЮЩИХ И ХРОНИЧЕСКИХ ПРОГРЕССИРУЮЩИХ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РЕДКИХ (ОРФАННЫХ) ЗАБОЛЕВАНИЙ, ПРИВОДЯЩИХ К СОКРАЩЕНИЮ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ПРОДОЛЖИТЕЛЬНОСТИ ЖИЗНИ ГРАЖДАН ИЛИ ИХ ИНВАЛИДНОСТИ</w:t>
      </w:r>
    </w:p>
    <w:p>
      <w:pPr>
        <w:pStyle w:val="Normal"/>
        <w:rPr/>
      </w:pPr>
      <w:r>
        <w:rPr/>
      </w:r>
    </w:p>
    <w:tbl>
      <w:tblPr>
        <w:tblW w:w="1395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1367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7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РФ от 20.11.2018 </w:t>
            </w:r>
            <w:hyperlink r:id="rId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1390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05.06.2020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829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r>
          </w:p>
        </w:tc>
      </w:tr>
    </w:tbl>
    <w:p>
      <w:pPr>
        <w:pStyle w:val="Normal"/>
        <w:widowControl w:val="false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25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79"/>
        <w:gridCol w:w="3960"/>
      </w:tblGrid>
      <w:tr>
        <w:trPr/>
        <w:tc>
          <w:tcPr>
            <w:tcW w:w="8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Код заболевания </w:t>
            </w:r>
            <w:hyperlink w:anchor="Par5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&lt;*&gt;</w:t>
              </w:r>
            </w:hyperlink>
          </w:p>
        </w:tc>
      </w:tr>
      <w:tr>
        <w:trPr/>
        <w:tc>
          <w:tcPr>
            <w:tcW w:w="12539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1. Исключен с 1 января 2019 года. -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Постановление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Правительства РФ от 20.11.2018 N 1390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 Пароксизмальная ночная гемоглобинурия (Маркиафавы-Микели)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D59.5</w:t>
            </w:r>
          </w:p>
        </w:tc>
      </w:tr>
      <w:tr>
        <w:trPr/>
        <w:tc>
          <w:tcPr>
            <w:tcW w:w="1253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3 - 4. Исключены. - </w:t>
            </w: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Постановление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Правительства РФ от 05.06.2020 N 829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 Идиопатическая тромбоцитопеническая пурпура (синдром Эванса)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D69.3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 Дефект в системе комплемента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D84.1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 Преждевременная половая зрелость центрального происхождения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E22.8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 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E70.0, E70.1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 Тирозинемия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E70.2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 Болезнь "кленового сиропа"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E71.0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11. 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E71.1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 Нарушения обмена жирных кислот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E71.3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13. Гомоцистинурия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E72.1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14. Глютарикацидурия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E72.3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15. Галактоземия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E74.2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16. Другие сфинголипидозы: болезнь Фабри (Фабри-Андерсона), Нимана-Пика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E75.2</w:t>
            </w:r>
          </w:p>
        </w:tc>
      </w:tr>
      <w:tr>
        <w:trPr/>
        <w:tc>
          <w:tcPr>
            <w:tcW w:w="1253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17 - 19. Исключены с 1 января 2019 года. - </w:t>
            </w:r>
            <w:hyperlink r:id="rId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Постановление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Правительства РФ от 20.11.2018 N 1390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20. Острая перемежающая (печеночная) порфирия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E80.2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21. Нарушения обмена меди (болезнь Вильсона)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E83.0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22. Незавершенный остеогенез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Q78.0</w:t>
            </w:r>
          </w:p>
        </w:tc>
      </w:tr>
      <w:tr>
        <w:trPr/>
        <w:tc>
          <w:tcPr>
            <w:tcW w:w="85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23. Легочная (артериальная) гипертензия (идиопатическая) (первичная)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I27.0</w:t>
            </w:r>
          </w:p>
        </w:tc>
      </w:tr>
      <w:tr>
        <w:trPr/>
        <w:tc>
          <w:tcPr>
            <w:tcW w:w="1253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24. Исключен с 1 января 2019 года. - </w:t>
            </w:r>
            <w:hyperlink r:id="rId7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Постановление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Правительства РФ от 20.11.2018 N 1390</w:t>
            </w:r>
          </w:p>
        </w:tc>
      </w:tr>
    </w:tbl>
    <w:p>
      <w:pPr>
        <w:pStyle w:val="Normal"/>
        <w:widowControl w:val="false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Normal"/>
        <w:spacing w:before="200" w:after="20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&lt;*&gt; Указывается в соответствии с Международной статистической </w:t>
      </w:r>
      <w:hyperlink r:id="rId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классификацией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болезней и проблем, связанных со здоровьем, X пересмотра.</w:t>
      </w:r>
      <w:bookmarkStart w:id="0" w:name="Par56"/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0" w:right="-680" w:hanging="0"/>
        <w:jc w:val="righ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  <w:bookmarkEnd w:id="0"/>
    </w:p>
    <w:sectPr>
      <w:type w:val="nextPage"/>
      <w:pgSz w:w="11906" w:h="16838"/>
      <w:pgMar w:left="15" w:right="10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23573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uiPriority w:val="99"/>
    <w:qFormat/>
    <w:rsid w:val="006218b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ConsPlusNormal" w:customStyle="1">
    <w:name w:val="ConsPlusNormal"/>
    <w:qFormat/>
    <w:rsid w:val="00c805d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c805d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F3C72EF0283E4FB5EF8A9E15ECE5EA1FF69816547333065BADC6490E7630E1B98F484BD63EB36BA01E975F33708152FA5C46D264470845I8V5L" TargetMode="External"/><Relationship Id="rId3" Type="http://schemas.openxmlformats.org/officeDocument/2006/relationships/hyperlink" Target="consultantplus://offline/ref=4AF3C72EF0283E4FB5EF8A9E15ECE5EA18F79012517D33065BADC6490E7630E1B98F484BD63EB36AA91E975F33708152FA5C46D264470845I8V5L" TargetMode="External"/><Relationship Id="rId4" Type="http://schemas.openxmlformats.org/officeDocument/2006/relationships/hyperlink" Target="consultantplus://offline/ref=4AF3C72EF0283E4FB5EF8A9E15ECE5EA1FF69816547333065BADC6490E7630E1B98F484BD63EB36BA01E975F33708152FA5C46D264470845I8V5L" TargetMode="External"/><Relationship Id="rId5" Type="http://schemas.openxmlformats.org/officeDocument/2006/relationships/hyperlink" Target="consultantplus://offline/ref=4AF3C72EF0283E4FB5EF8A9E15ECE5EA18F79012517D33065BADC6490E7630E1B98F484BD63EB36AA91E975F33708152FA5C46D264470845I8V5L" TargetMode="External"/><Relationship Id="rId6" Type="http://schemas.openxmlformats.org/officeDocument/2006/relationships/hyperlink" Target="consultantplus://offline/ref=4AF3C72EF0283E4FB5EF8A9E15ECE5EA1FF69816547333065BADC6490E7630E1B98F484BD63EB36BA01E975F33708152FA5C46D264470845I8V5L" TargetMode="External"/><Relationship Id="rId7" Type="http://schemas.openxmlformats.org/officeDocument/2006/relationships/hyperlink" Target="consultantplus://offline/ref=4AF3C72EF0283E4FB5EF8A9E15ECE5EA1FF69816547333065BADC6490E7630E1B98F484BD63EB36BA01E975F33708152FA5C46D264470845I8V5L" TargetMode="External"/><Relationship Id="rId8" Type="http://schemas.openxmlformats.org/officeDocument/2006/relationships/hyperlink" Target="consultantplus://offline/ref=4AF3C72EF0283E4FB5EF9D9C078DB0B911F09A115F73395B51A59F450C713FBEAE9A011FDB3EBA74A016DD0C7727I8VFL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2</Pages>
  <Words>277</Words>
  <Characters>1970</Characters>
  <CharactersWithSpaces>2231</CharactersWithSpaces>
  <Paragraphs>55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2023-03-09T14:21:00Z</dcterms:created>
  <dc:creator>user</dc:creator>
  <dc:description/>
  <dc:language>ru-RU</dc:language>
  <cp:lastModifiedBy/>
  <cp:lastPrinted>2019-01-23T11:34:00Z</cp:lastPrinted>
  <dcterms:modified xsi:type="dcterms:W3CDTF">2023-03-09T14:22:52Z</dcterms:modified>
  <cp:revision>4</cp:revision>
  <dc:subject/>
  <dc:title>Постановление Правительства РФ от 26.04.2012 N 403(ред. от 05.06.2020)"О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сегмента"(вместе с "Правилами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